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F56" w:rsidRPr="009C01A9" w:rsidRDefault="00057F56" w:rsidP="00057F56">
      <w:pPr>
        <w:jc w:val="center"/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</w:pPr>
      <w:r w:rsidRPr="009C01A9"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  <w:t xml:space="preserve">Introduction à l'analyse de données quantitatives – </w:t>
      </w:r>
      <w:proofErr w:type="spellStart"/>
      <w:r w:rsidRPr="009C01A9"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  <w:t>Datavizualisation</w:t>
      </w:r>
      <w:proofErr w:type="spellEnd"/>
    </w:p>
    <w:p w:rsidR="00057F56" w:rsidRPr="009C01A9" w:rsidRDefault="00057F56" w:rsidP="00057F56">
      <w:pPr>
        <w:jc w:val="center"/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</w:pPr>
      <w:r w:rsidRPr="009C01A9"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  <w:t>Niveau débutant</w:t>
      </w:r>
    </w:p>
    <w:p w:rsidR="00057F56" w:rsidRPr="009C01A9" w:rsidRDefault="00057F56" w:rsidP="009C01A9">
      <w:pPr>
        <w:jc w:val="center"/>
        <w:rPr>
          <w:rFonts w:asciiTheme="majorHAnsi" w:hAnsiTheme="majorHAnsi" w:cstheme="majorHAnsi"/>
          <w:b/>
          <w:bCs/>
          <w:color w:val="7030A0"/>
          <w:sz w:val="28"/>
          <w:szCs w:val="24"/>
          <w:lang w:val="fr-FR"/>
        </w:rPr>
      </w:pPr>
    </w:p>
    <w:p w:rsidR="00057F56" w:rsidRPr="00786105" w:rsidRDefault="00057F56" w:rsidP="00057F56">
      <w:pPr>
        <w:jc w:val="center"/>
        <w:rPr>
          <w:rFonts w:asciiTheme="minorHAnsi" w:eastAsia="Calibri" w:hAnsiTheme="minorHAnsi" w:cs="Calibri"/>
          <w:b/>
          <w:spacing w:val="1"/>
          <w:sz w:val="22"/>
          <w:szCs w:val="22"/>
          <w:lang w:val="fr-FR"/>
        </w:rPr>
      </w:pPr>
      <w:r w:rsidRPr="00786105">
        <w:rPr>
          <w:rFonts w:asciiTheme="minorHAnsi" w:eastAsia="Calibri" w:hAnsiTheme="minorHAnsi" w:cs="Calibri"/>
          <w:b/>
          <w:spacing w:val="1"/>
          <w:sz w:val="22"/>
          <w:szCs w:val="22"/>
          <w:lang w:val="fr-FR"/>
        </w:rPr>
        <w:t>17-18 octobre 2019 _ 2 jours</w:t>
      </w:r>
    </w:p>
    <w:p w:rsidR="00057F56" w:rsidRPr="00786105" w:rsidRDefault="00057F56" w:rsidP="00057F56">
      <w:pPr>
        <w:jc w:val="center"/>
        <w:rPr>
          <w:rFonts w:asciiTheme="minorHAnsi" w:eastAsia="Calibri" w:hAnsiTheme="minorHAnsi" w:cs="Calibri"/>
          <w:sz w:val="18"/>
          <w:szCs w:val="18"/>
          <w:lang w:val="fr-FR"/>
        </w:rPr>
      </w:pPr>
      <w:r w:rsidRPr="00786105">
        <w:rPr>
          <w:rFonts w:asciiTheme="minorHAnsi" w:eastAsia="Calibri" w:hAnsiTheme="minorHAnsi" w:cs="Calibri"/>
          <w:b/>
          <w:sz w:val="18"/>
          <w:szCs w:val="18"/>
          <w:lang w:val="fr-FR"/>
        </w:rPr>
        <w:t>(9h30 – 17h)</w:t>
      </w:r>
    </w:p>
    <w:p w:rsidR="00057F56" w:rsidRPr="00786105" w:rsidRDefault="00057F56" w:rsidP="00057F56">
      <w:pPr>
        <w:spacing w:line="260" w:lineRule="exact"/>
        <w:rPr>
          <w:rFonts w:asciiTheme="minorHAnsi" w:hAnsiTheme="minorHAnsi"/>
          <w:sz w:val="26"/>
          <w:szCs w:val="26"/>
          <w:lang w:val="fr-FR"/>
        </w:rPr>
      </w:pPr>
    </w:p>
    <w:p w:rsidR="00057F56" w:rsidRPr="00786105" w:rsidRDefault="00057F56" w:rsidP="00057F56">
      <w:pPr>
        <w:jc w:val="center"/>
        <w:rPr>
          <w:rFonts w:asciiTheme="minorHAnsi" w:eastAsia="Calibri" w:hAnsiTheme="minorHAnsi" w:cs="Calibri"/>
          <w:b/>
          <w:sz w:val="22"/>
          <w:szCs w:val="22"/>
          <w:lang w:val="fr-FR"/>
        </w:rPr>
      </w:pP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I</w:t>
      </w:r>
      <w:r w:rsidRPr="00786105">
        <w:rPr>
          <w:rFonts w:asciiTheme="minorHAnsi" w:eastAsia="Calibri" w:hAnsiTheme="minorHAnsi" w:cs="Calibri"/>
          <w:b/>
          <w:spacing w:val="-1"/>
          <w:sz w:val="22"/>
          <w:szCs w:val="22"/>
          <w:lang w:val="fr-FR"/>
        </w:rPr>
        <w:t>n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stit</w:t>
      </w:r>
      <w:r w:rsidRPr="00786105">
        <w:rPr>
          <w:rFonts w:asciiTheme="minorHAnsi" w:eastAsia="Calibri" w:hAnsiTheme="minorHAnsi" w:cs="Calibri"/>
          <w:b/>
          <w:spacing w:val="-1"/>
          <w:sz w:val="22"/>
          <w:szCs w:val="22"/>
          <w:lang w:val="fr-FR"/>
        </w:rPr>
        <w:t>u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t</w:t>
      </w:r>
      <w:r w:rsidRPr="00786105">
        <w:rPr>
          <w:rFonts w:asciiTheme="minorHAnsi" w:eastAsia="Calibri" w:hAnsiTheme="minorHAnsi" w:cs="Calibri"/>
          <w:b/>
          <w:spacing w:val="1"/>
          <w:sz w:val="22"/>
          <w:szCs w:val="22"/>
          <w:lang w:val="fr-FR"/>
        </w:rPr>
        <w:t xml:space="preserve"> </w:t>
      </w:r>
      <w:r w:rsidRPr="00786105">
        <w:rPr>
          <w:rFonts w:asciiTheme="minorHAnsi" w:eastAsia="Calibri" w:hAnsiTheme="minorHAnsi" w:cs="Calibri"/>
          <w:b/>
          <w:spacing w:val="-1"/>
          <w:sz w:val="22"/>
          <w:szCs w:val="22"/>
          <w:lang w:val="fr-FR"/>
        </w:rPr>
        <w:t>Na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ti</w:t>
      </w:r>
      <w:r w:rsidRPr="00786105">
        <w:rPr>
          <w:rFonts w:asciiTheme="minorHAnsi" w:eastAsia="Calibri" w:hAnsiTheme="minorHAnsi" w:cs="Calibri"/>
          <w:b/>
          <w:spacing w:val="-1"/>
          <w:sz w:val="22"/>
          <w:szCs w:val="22"/>
          <w:lang w:val="fr-FR"/>
        </w:rPr>
        <w:t>ona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 xml:space="preserve">l </w:t>
      </w:r>
      <w:r w:rsidRPr="00786105">
        <w:rPr>
          <w:rFonts w:asciiTheme="minorHAnsi" w:eastAsia="Calibri" w:hAnsiTheme="minorHAnsi" w:cs="Calibri"/>
          <w:b/>
          <w:spacing w:val="-1"/>
          <w:sz w:val="22"/>
          <w:szCs w:val="22"/>
          <w:lang w:val="fr-FR"/>
        </w:rPr>
        <w:t>d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’</w:t>
      </w:r>
      <w:r w:rsidRPr="00786105">
        <w:rPr>
          <w:rFonts w:asciiTheme="minorHAnsi" w:eastAsia="Calibri" w:hAnsiTheme="minorHAnsi" w:cs="Calibri"/>
          <w:b/>
          <w:spacing w:val="-2"/>
          <w:sz w:val="22"/>
          <w:szCs w:val="22"/>
          <w:lang w:val="fr-FR"/>
        </w:rPr>
        <w:t>E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t</w:t>
      </w:r>
      <w:r w:rsidRPr="00786105">
        <w:rPr>
          <w:rFonts w:asciiTheme="minorHAnsi" w:eastAsia="Calibri" w:hAnsiTheme="minorHAnsi" w:cs="Calibri"/>
          <w:b/>
          <w:spacing w:val="-1"/>
          <w:sz w:val="22"/>
          <w:szCs w:val="22"/>
          <w:lang w:val="fr-FR"/>
        </w:rPr>
        <w:t>ud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es</w:t>
      </w:r>
      <w:r w:rsidRPr="00786105">
        <w:rPr>
          <w:rFonts w:asciiTheme="minorHAnsi" w:eastAsia="Calibri" w:hAnsiTheme="minorHAnsi" w:cs="Calibri"/>
          <w:b/>
          <w:spacing w:val="-1"/>
          <w:sz w:val="22"/>
          <w:szCs w:val="22"/>
          <w:lang w:val="fr-FR"/>
        </w:rPr>
        <w:t xml:space="preserve"> </w:t>
      </w:r>
      <w:r w:rsidRPr="00786105">
        <w:rPr>
          <w:rFonts w:asciiTheme="minorHAnsi" w:eastAsia="Calibri" w:hAnsiTheme="minorHAnsi" w:cs="Calibri"/>
          <w:b/>
          <w:spacing w:val="1"/>
          <w:sz w:val="22"/>
          <w:szCs w:val="22"/>
          <w:lang w:val="fr-FR"/>
        </w:rPr>
        <w:t>D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é</w:t>
      </w:r>
      <w:r w:rsidRPr="00786105">
        <w:rPr>
          <w:rFonts w:asciiTheme="minorHAnsi" w:eastAsia="Calibri" w:hAnsiTheme="minorHAnsi" w:cs="Calibri"/>
          <w:b/>
          <w:spacing w:val="1"/>
          <w:sz w:val="22"/>
          <w:szCs w:val="22"/>
          <w:lang w:val="fr-FR"/>
        </w:rPr>
        <w:t>m</w:t>
      </w:r>
      <w:r w:rsidRPr="00786105">
        <w:rPr>
          <w:rFonts w:asciiTheme="minorHAnsi" w:eastAsia="Calibri" w:hAnsiTheme="minorHAnsi" w:cs="Calibri"/>
          <w:b/>
          <w:spacing w:val="-1"/>
          <w:sz w:val="22"/>
          <w:szCs w:val="22"/>
          <w:lang w:val="fr-FR"/>
        </w:rPr>
        <w:t>o</w:t>
      </w:r>
      <w:r w:rsidRPr="00786105">
        <w:rPr>
          <w:rFonts w:asciiTheme="minorHAnsi" w:eastAsia="Calibri" w:hAnsiTheme="minorHAnsi" w:cs="Calibri"/>
          <w:b/>
          <w:spacing w:val="-3"/>
          <w:sz w:val="22"/>
          <w:szCs w:val="22"/>
          <w:lang w:val="fr-FR"/>
        </w:rPr>
        <w:t>g</w:t>
      </w:r>
      <w:r w:rsidRPr="00786105">
        <w:rPr>
          <w:rFonts w:asciiTheme="minorHAnsi" w:eastAsia="Calibri" w:hAnsiTheme="minorHAnsi" w:cs="Calibri"/>
          <w:b/>
          <w:spacing w:val="1"/>
          <w:sz w:val="22"/>
          <w:szCs w:val="22"/>
          <w:lang w:val="fr-FR"/>
        </w:rPr>
        <w:t>r</w:t>
      </w:r>
      <w:r w:rsidRPr="00786105">
        <w:rPr>
          <w:rFonts w:asciiTheme="minorHAnsi" w:eastAsia="Calibri" w:hAnsiTheme="minorHAnsi" w:cs="Calibri"/>
          <w:b/>
          <w:spacing w:val="-1"/>
          <w:sz w:val="22"/>
          <w:szCs w:val="22"/>
          <w:lang w:val="fr-FR"/>
        </w:rPr>
        <w:t>aph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i</w:t>
      </w:r>
      <w:r w:rsidRPr="00786105">
        <w:rPr>
          <w:rFonts w:asciiTheme="minorHAnsi" w:eastAsia="Calibri" w:hAnsiTheme="minorHAnsi" w:cs="Calibri"/>
          <w:b/>
          <w:spacing w:val="-1"/>
          <w:sz w:val="22"/>
          <w:szCs w:val="22"/>
          <w:lang w:val="fr-FR"/>
        </w:rPr>
        <w:t>qu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es</w:t>
      </w:r>
    </w:p>
    <w:p w:rsidR="00057F56" w:rsidRPr="00786105" w:rsidRDefault="00057F56" w:rsidP="00057F56">
      <w:pPr>
        <w:jc w:val="center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786105">
        <w:rPr>
          <w:rFonts w:asciiTheme="minorHAnsi" w:eastAsia="Calibri" w:hAnsiTheme="minorHAnsi" w:cs="Calibri"/>
          <w:spacing w:val="1"/>
          <w:sz w:val="22"/>
          <w:szCs w:val="22"/>
          <w:lang w:val="fr-FR"/>
        </w:rPr>
        <w:t>1</w:t>
      </w:r>
      <w:r w:rsidRPr="00786105">
        <w:rPr>
          <w:rFonts w:asciiTheme="minorHAnsi" w:eastAsia="Calibri" w:hAnsiTheme="minorHAnsi" w:cs="Calibri"/>
          <w:spacing w:val="-2"/>
          <w:sz w:val="22"/>
          <w:szCs w:val="22"/>
          <w:lang w:val="fr-FR"/>
        </w:rPr>
        <w:t>3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>3</w:t>
      </w:r>
      <w:r w:rsidRPr="00786105">
        <w:rPr>
          <w:rFonts w:asciiTheme="minorHAnsi" w:eastAsia="Calibri" w:hAnsiTheme="minorHAnsi" w:cs="Calibri"/>
          <w:spacing w:val="2"/>
          <w:sz w:val="22"/>
          <w:szCs w:val="22"/>
          <w:lang w:val="fr-FR"/>
        </w:rPr>
        <w:t xml:space="preserve"> </w:t>
      </w:r>
      <w:r w:rsidRPr="00786105">
        <w:rPr>
          <w:rFonts w:asciiTheme="minorHAnsi" w:eastAsia="Calibri" w:hAnsiTheme="minorHAnsi" w:cs="Calibri"/>
          <w:spacing w:val="-1"/>
          <w:sz w:val="22"/>
          <w:szCs w:val="22"/>
          <w:lang w:val="fr-FR"/>
        </w:rPr>
        <w:t>b</w:t>
      </w:r>
      <w:r w:rsidRPr="00786105">
        <w:rPr>
          <w:rFonts w:asciiTheme="minorHAnsi" w:eastAsia="Calibri" w:hAnsiTheme="minorHAnsi" w:cs="Calibri"/>
          <w:spacing w:val="1"/>
          <w:sz w:val="22"/>
          <w:szCs w:val="22"/>
          <w:lang w:val="fr-FR"/>
        </w:rPr>
        <w:t>o</w:t>
      </w:r>
      <w:r w:rsidRPr="00786105">
        <w:rPr>
          <w:rFonts w:asciiTheme="minorHAnsi" w:eastAsia="Calibri" w:hAnsiTheme="minorHAnsi" w:cs="Calibri"/>
          <w:spacing w:val="-1"/>
          <w:sz w:val="22"/>
          <w:szCs w:val="22"/>
          <w:lang w:val="fr-FR"/>
        </w:rPr>
        <w:t>u</w:t>
      </w:r>
      <w:r w:rsidRPr="00786105">
        <w:rPr>
          <w:rFonts w:asciiTheme="minorHAnsi" w:eastAsia="Calibri" w:hAnsiTheme="minorHAnsi" w:cs="Calibri"/>
          <w:spacing w:val="-3"/>
          <w:sz w:val="22"/>
          <w:szCs w:val="22"/>
          <w:lang w:val="fr-FR"/>
        </w:rPr>
        <w:t>l</w:t>
      </w:r>
      <w:r w:rsidRPr="00786105">
        <w:rPr>
          <w:rFonts w:asciiTheme="minorHAnsi" w:eastAsia="Calibri" w:hAnsiTheme="minorHAnsi" w:cs="Calibri"/>
          <w:spacing w:val="1"/>
          <w:sz w:val="22"/>
          <w:szCs w:val="22"/>
          <w:lang w:val="fr-FR"/>
        </w:rPr>
        <w:t>ev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>ard</w:t>
      </w:r>
      <w:r w:rsidRPr="00786105">
        <w:rPr>
          <w:rFonts w:asciiTheme="minorHAnsi" w:eastAsia="Calibri" w:hAnsiTheme="minorHAnsi" w:cs="Calibri"/>
          <w:spacing w:val="-3"/>
          <w:sz w:val="22"/>
          <w:szCs w:val="22"/>
          <w:lang w:val="fr-FR"/>
        </w:rPr>
        <w:t xml:space="preserve"> </w:t>
      </w:r>
      <w:r w:rsidRPr="00786105">
        <w:rPr>
          <w:rFonts w:asciiTheme="minorHAnsi" w:eastAsia="Calibri" w:hAnsiTheme="minorHAnsi" w:cs="Calibri"/>
          <w:spacing w:val="1"/>
          <w:sz w:val="22"/>
          <w:szCs w:val="22"/>
          <w:lang w:val="fr-FR"/>
        </w:rPr>
        <w:t>D</w:t>
      </w:r>
      <w:r w:rsidRPr="00786105">
        <w:rPr>
          <w:rFonts w:asciiTheme="minorHAnsi" w:eastAsia="Calibri" w:hAnsiTheme="minorHAnsi" w:cs="Calibri"/>
          <w:spacing w:val="-3"/>
          <w:sz w:val="22"/>
          <w:szCs w:val="22"/>
          <w:lang w:val="fr-FR"/>
        </w:rPr>
        <w:t>a</w:t>
      </w:r>
      <w:r w:rsidRPr="00786105">
        <w:rPr>
          <w:rFonts w:asciiTheme="minorHAnsi" w:eastAsia="Calibri" w:hAnsiTheme="minorHAnsi" w:cs="Calibri"/>
          <w:spacing w:val="1"/>
          <w:sz w:val="22"/>
          <w:szCs w:val="22"/>
          <w:lang w:val="fr-FR"/>
        </w:rPr>
        <w:t>vo</w:t>
      </w:r>
      <w:r w:rsidRPr="00786105">
        <w:rPr>
          <w:rFonts w:asciiTheme="minorHAnsi" w:eastAsia="Calibri" w:hAnsiTheme="minorHAnsi" w:cs="Calibri"/>
          <w:spacing w:val="-1"/>
          <w:sz w:val="22"/>
          <w:szCs w:val="22"/>
          <w:lang w:val="fr-FR"/>
        </w:rPr>
        <w:t>u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>t</w:t>
      </w:r>
    </w:p>
    <w:p w:rsidR="00057F56" w:rsidRPr="00786105" w:rsidRDefault="00057F56" w:rsidP="00057F56">
      <w:pPr>
        <w:jc w:val="center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786105">
        <w:rPr>
          <w:rFonts w:asciiTheme="minorHAnsi" w:eastAsia="Calibri" w:hAnsiTheme="minorHAnsi" w:cs="Calibri"/>
          <w:spacing w:val="1"/>
          <w:sz w:val="22"/>
          <w:szCs w:val="22"/>
          <w:lang w:val="fr-FR"/>
        </w:rPr>
        <w:t>7</w:t>
      </w:r>
      <w:r w:rsidRPr="00786105">
        <w:rPr>
          <w:rFonts w:asciiTheme="minorHAnsi" w:eastAsia="Calibri" w:hAnsiTheme="minorHAnsi" w:cs="Calibri"/>
          <w:spacing w:val="-1"/>
          <w:sz w:val="22"/>
          <w:szCs w:val="22"/>
          <w:lang w:val="fr-FR"/>
        </w:rPr>
        <w:t>5</w:t>
      </w:r>
      <w:r w:rsidRPr="00786105">
        <w:rPr>
          <w:rFonts w:asciiTheme="minorHAnsi" w:eastAsia="Calibri" w:hAnsiTheme="minorHAnsi" w:cs="Calibri"/>
          <w:spacing w:val="1"/>
          <w:sz w:val="22"/>
          <w:szCs w:val="22"/>
          <w:lang w:val="fr-FR"/>
        </w:rPr>
        <w:t>9</w:t>
      </w:r>
      <w:r w:rsidRPr="00786105">
        <w:rPr>
          <w:rFonts w:asciiTheme="minorHAnsi" w:eastAsia="Calibri" w:hAnsiTheme="minorHAnsi" w:cs="Calibri"/>
          <w:spacing w:val="-1"/>
          <w:sz w:val="22"/>
          <w:szCs w:val="22"/>
          <w:lang w:val="fr-FR"/>
        </w:rPr>
        <w:t>8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>0</w:t>
      </w:r>
      <w:r w:rsidRPr="00786105">
        <w:rPr>
          <w:rFonts w:asciiTheme="minorHAnsi" w:eastAsia="Calibri" w:hAnsiTheme="minorHAnsi" w:cs="Calibri"/>
          <w:spacing w:val="-1"/>
          <w:sz w:val="22"/>
          <w:szCs w:val="22"/>
          <w:lang w:val="fr-FR"/>
        </w:rPr>
        <w:t xml:space="preserve"> </w:t>
      </w:r>
      <w:r w:rsidRPr="00786105">
        <w:rPr>
          <w:rFonts w:asciiTheme="minorHAnsi" w:eastAsia="Calibri" w:hAnsiTheme="minorHAnsi" w:cs="Calibri"/>
          <w:spacing w:val="1"/>
          <w:sz w:val="22"/>
          <w:szCs w:val="22"/>
          <w:lang w:val="fr-FR"/>
        </w:rPr>
        <w:t>P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>aris</w:t>
      </w:r>
      <w:r w:rsidRPr="00786105">
        <w:rPr>
          <w:rFonts w:asciiTheme="minorHAnsi" w:eastAsia="Calibri" w:hAnsiTheme="minorHAnsi" w:cs="Calibri"/>
          <w:spacing w:val="1"/>
          <w:sz w:val="22"/>
          <w:szCs w:val="22"/>
          <w:lang w:val="fr-FR"/>
        </w:rPr>
        <w:t xml:space="preserve"> </w:t>
      </w:r>
      <w:r w:rsidRPr="00786105">
        <w:rPr>
          <w:rFonts w:asciiTheme="minorHAnsi" w:eastAsia="Calibri" w:hAnsiTheme="minorHAnsi" w:cs="Calibri"/>
          <w:spacing w:val="-3"/>
          <w:sz w:val="22"/>
          <w:szCs w:val="22"/>
          <w:lang w:val="fr-FR"/>
        </w:rPr>
        <w:t>C</w:t>
      </w:r>
      <w:r w:rsidRPr="00786105">
        <w:rPr>
          <w:rFonts w:asciiTheme="minorHAnsi" w:eastAsia="Calibri" w:hAnsiTheme="minorHAnsi" w:cs="Calibri"/>
          <w:spacing w:val="1"/>
          <w:sz w:val="22"/>
          <w:szCs w:val="22"/>
          <w:lang w:val="fr-FR"/>
        </w:rPr>
        <w:t>e</w:t>
      </w:r>
      <w:r w:rsidRPr="00786105">
        <w:rPr>
          <w:rFonts w:asciiTheme="minorHAnsi" w:eastAsia="Calibri" w:hAnsiTheme="minorHAnsi" w:cs="Calibri"/>
          <w:spacing w:val="-1"/>
          <w:sz w:val="22"/>
          <w:szCs w:val="22"/>
          <w:lang w:val="fr-FR"/>
        </w:rPr>
        <w:t>d</w:t>
      </w:r>
      <w:r w:rsidRPr="00786105">
        <w:rPr>
          <w:rFonts w:asciiTheme="minorHAnsi" w:eastAsia="Calibri" w:hAnsiTheme="minorHAnsi" w:cs="Calibri"/>
          <w:spacing w:val="1"/>
          <w:sz w:val="22"/>
          <w:szCs w:val="22"/>
          <w:lang w:val="fr-FR"/>
        </w:rPr>
        <w:t>e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>x</w:t>
      </w:r>
      <w:r w:rsidRPr="00786105">
        <w:rPr>
          <w:rFonts w:asciiTheme="minorHAnsi" w:eastAsia="Calibri" w:hAnsiTheme="minorHAnsi" w:cs="Calibri"/>
          <w:spacing w:val="-1"/>
          <w:sz w:val="22"/>
          <w:szCs w:val="22"/>
          <w:lang w:val="fr-FR"/>
        </w:rPr>
        <w:t xml:space="preserve"> </w:t>
      </w:r>
      <w:r w:rsidRPr="00786105">
        <w:rPr>
          <w:rFonts w:asciiTheme="minorHAnsi" w:eastAsia="Calibri" w:hAnsiTheme="minorHAnsi" w:cs="Calibri"/>
          <w:spacing w:val="1"/>
          <w:sz w:val="22"/>
          <w:szCs w:val="22"/>
          <w:lang w:val="fr-FR"/>
        </w:rPr>
        <w:t>20</w:t>
      </w:r>
    </w:p>
    <w:p w:rsidR="00057F56" w:rsidRPr="00786105" w:rsidRDefault="00057F56" w:rsidP="00057F56">
      <w:pPr>
        <w:spacing w:line="260" w:lineRule="exact"/>
        <w:jc w:val="center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786105">
        <w:rPr>
          <w:rFonts w:asciiTheme="minorHAnsi" w:eastAsia="Calibri" w:hAnsiTheme="minorHAnsi" w:cs="Calibri"/>
          <w:i/>
          <w:sz w:val="22"/>
          <w:szCs w:val="22"/>
          <w:lang w:val="fr-FR"/>
        </w:rPr>
        <w:t>Salle</w:t>
      </w:r>
      <w:r w:rsidRPr="00786105">
        <w:rPr>
          <w:rFonts w:asciiTheme="minorHAnsi" w:eastAsia="Calibri" w:hAnsiTheme="minorHAnsi" w:cs="Calibri"/>
          <w:i/>
          <w:spacing w:val="1"/>
          <w:sz w:val="22"/>
          <w:szCs w:val="22"/>
          <w:lang w:val="fr-FR"/>
        </w:rPr>
        <w:t xml:space="preserve"> </w:t>
      </w:r>
      <w:r w:rsidRPr="00786105">
        <w:rPr>
          <w:rFonts w:asciiTheme="minorHAnsi" w:eastAsia="Calibri" w:hAnsiTheme="minorHAnsi" w:cs="Calibri"/>
          <w:i/>
          <w:spacing w:val="-2"/>
          <w:sz w:val="22"/>
          <w:szCs w:val="22"/>
          <w:lang w:val="fr-FR"/>
        </w:rPr>
        <w:t>324</w:t>
      </w:r>
      <w:r w:rsidRPr="00786105">
        <w:rPr>
          <w:rFonts w:asciiTheme="minorHAnsi" w:eastAsia="Calibri" w:hAnsiTheme="minorHAnsi" w:cs="Calibri"/>
          <w:i/>
          <w:spacing w:val="-1"/>
          <w:sz w:val="22"/>
          <w:szCs w:val="22"/>
          <w:lang w:val="fr-FR"/>
        </w:rPr>
        <w:t xml:space="preserve"> –3</w:t>
      </w:r>
      <w:r w:rsidRPr="00786105">
        <w:rPr>
          <w:rFonts w:asciiTheme="minorHAnsi" w:eastAsia="Calibri" w:hAnsiTheme="minorHAnsi" w:cs="Calibri"/>
          <w:i/>
          <w:spacing w:val="-1"/>
          <w:sz w:val="22"/>
          <w:szCs w:val="22"/>
          <w:vertAlign w:val="superscript"/>
          <w:lang w:val="fr-FR"/>
        </w:rPr>
        <w:t>ème</w:t>
      </w:r>
      <w:r w:rsidRPr="00786105">
        <w:rPr>
          <w:rFonts w:asciiTheme="minorHAnsi" w:eastAsia="Calibri" w:hAnsiTheme="minorHAnsi" w:cs="Calibri"/>
          <w:i/>
          <w:spacing w:val="17"/>
          <w:position w:val="10"/>
          <w:sz w:val="14"/>
          <w:szCs w:val="14"/>
          <w:lang w:val="fr-FR"/>
        </w:rPr>
        <w:t xml:space="preserve"> </w:t>
      </w:r>
      <w:r w:rsidRPr="00786105">
        <w:rPr>
          <w:rFonts w:asciiTheme="minorHAnsi" w:eastAsia="Calibri" w:hAnsiTheme="minorHAnsi" w:cs="Calibri"/>
          <w:i/>
          <w:sz w:val="22"/>
          <w:szCs w:val="22"/>
          <w:lang w:val="fr-FR"/>
        </w:rPr>
        <w:t>ét</w:t>
      </w:r>
      <w:r w:rsidRPr="00786105">
        <w:rPr>
          <w:rFonts w:asciiTheme="minorHAnsi" w:eastAsia="Calibri" w:hAnsiTheme="minorHAnsi" w:cs="Calibri"/>
          <w:i/>
          <w:spacing w:val="-1"/>
          <w:sz w:val="22"/>
          <w:szCs w:val="22"/>
          <w:lang w:val="fr-FR"/>
        </w:rPr>
        <w:t>age (Se présenter à l’accueil)</w:t>
      </w:r>
    </w:p>
    <w:p w:rsidR="00057F56" w:rsidRPr="00786105" w:rsidRDefault="00057F56" w:rsidP="00057F56">
      <w:pPr>
        <w:spacing w:line="160" w:lineRule="exact"/>
        <w:rPr>
          <w:rFonts w:asciiTheme="minorHAnsi" w:hAnsiTheme="minorHAnsi"/>
          <w:sz w:val="16"/>
          <w:szCs w:val="16"/>
          <w:lang w:val="fr-FR"/>
        </w:rPr>
      </w:pPr>
    </w:p>
    <w:p w:rsidR="00057F56" w:rsidRPr="00786105" w:rsidRDefault="00057F56" w:rsidP="00057F56">
      <w:pPr>
        <w:spacing w:line="200" w:lineRule="exact"/>
        <w:rPr>
          <w:rFonts w:asciiTheme="minorHAnsi" w:hAnsiTheme="minorHAnsi"/>
          <w:lang w:val="fr-FR"/>
        </w:rPr>
      </w:pPr>
    </w:p>
    <w:p w:rsidR="00057F56" w:rsidRPr="00786105" w:rsidRDefault="00057F56" w:rsidP="00DD2DBF">
      <w:pPr>
        <w:tabs>
          <w:tab w:val="left" w:pos="10065"/>
        </w:tabs>
        <w:spacing w:line="200" w:lineRule="exact"/>
        <w:ind w:right="475"/>
        <w:jc w:val="center"/>
        <w:rPr>
          <w:rFonts w:asciiTheme="minorHAnsi" w:hAnsiTheme="minorHAnsi"/>
          <w:b/>
          <w:lang w:val="fr-FR"/>
        </w:rPr>
      </w:pP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>Formation dispensée par</w:t>
      </w:r>
      <w:r w:rsidRPr="00786105">
        <w:rPr>
          <w:rFonts w:asciiTheme="minorHAnsi" w:hAnsiTheme="minorHAnsi"/>
          <w:lang w:val="fr-FR"/>
        </w:rPr>
        <w:t xml:space="preserve"> 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>Bénédicte Garnier et</w:t>
      </w:r>
      <w:r w:rsidRPr="00786105">
        <w:rPr>
          <w:rFonts w:asciiTheme="minorHAnsi" w:eastAsia="Calibri" w:hAnsiTheme="minorHAnsi" w:cs="Calibri"/>
          <w:spacing w:val="-2"/>
          <w:sz w:val="22"/>
          <w:szCs w:val="22"/>
          <w:lang w:val="fr-FR"/>
        </w:rPr>
        <w:t xml:space="preserve"> 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>Elisabeth Morand</w:t>
      </w:r>
      <w:r w:rsidRPr="00786105">
        <w:rPr>
          <w:rFonts w:asciiTheme="minorHAnsi" w:eastAsia="Calibri" w:hAnsiTheme="minorHAnsi" w:cs="Calibri"/>
          <w:spacing w:val="-2"/>
          <w:sz w:val="22"/>
          <w:szCs w:val="22"/>
          <w:lang w:val="fr-FR"/>
        </w:rPr>
        <w:t xml:space="preserve">, </w:t>
      </w:r>
      <w:r w:rsidRPr="00786105">
        <w:rPr>
          <w:rFonts w:asciiTheme="minorHAnsi" w:eastAsia="Calibri" w:hAnsiTheme="minorHAnsi" w:cs="Calibri"/>
          <w:b/>
          <w:spacing w:val="-2"/>
          <w:sz w:val="22"/>
          <w:szCs w:val="22"/>
          <w:lang w:val="fr-FR"/>
        </w:rPr>
        <w:t>Ingénieurs au service des méthodes statistiques de l’</w:t>
      </w:r>
      <w:proofErr w:type="spellStart"/>
      <w:r w:rsidRPr="00786105">
        <w:rPr>
          <w:rFonts w:asciiTheme="minorHAnsi" w:eastAsia="Calibri" w:hAnsiTheme="minorHAnsi" w:cs="Calibri"/>
          <w:b/>
          <w:spacing w:val="-2"/>
          <w:sz w:val="22"/>
          <w:szCs w:val="22"/>
          <w:lang w:val="fr-FR"/>
        </w:rPr>
        <w:t>Ined</w:t>
      </w:r>
      <w:proofErr w:type="spellEnd"/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.</w:t>
      </w:r>
    </w:p>
    <w:p w:rsidR="00057F56" w:rsidRPr="00786105" w:rsidRDefault="00057F56" w:rsidP="00057F56">
      <w:pPr>
        <w:tabs>
          <w:tab w:val="left" w:pos="10065"/>
        </w:tabs>
        <w:spacing w:line="200" w:lineRule="exact"/>
        <w:ind w:right="475"/>
        <w:rPr>
          <w:rFonts w:asciiTheme="minorHAnsi" w:hAnsiTheme="minorHAnsi"/>
          <w:lang w:val="fr-FR"/>
        </w:rPr>
      </w:pPr>
    </w:p>
    <w:p w:rsidR="00057F56" w:rsidRPr="00786105" w:rsidRDefault="00057F56" w:rsidP="00057F56">
      <w:pPr>
        <w:tabs>
          <w:tab w:val="left" w:pos="10065"/>
        </w:tabs>
        <w:spacing w:line="260" w:lineRule="exact"/>
        <w:ind w:right="475"/>
        <w:rPr>
          <w:rFonts w:asciiTheme="minorHAnsi" w:hAnsiTheme="minorHAnsi"/>
          <w:sz w:val="26"/>
          <w:szCs w:val="26"/>
          <w:lang w:val="fr-FR"/>
        </w:rPr>
      </w:pPr>
    </w:p>
    <w:p w:rsidR="00057F56" w:rsidRPr="00786105" w:rsidRDefault="00057F56" w:rsidP="00057F56">
      <w:pPr>
        <w:tabs>
          <w:tab w:val="left" w:pos="10065"/>
        </w:tabs>
        <w:ind w:right="475"/>
        <w:rPr>
          <w:rFonts w:asciiTheme="minorHAnsi" w:eastAsia="Calibri" w:hAnsiTheme="minorHAnsi" w:cs="Calibri"/>
          <w:b/>
          <w:spacing w:val="-1"/>
          <w:sz w:val="24"/>
          <w:szCs w:val="24"/>
          <w:lang w:val="fr-FR"/>
        </w:rPr>
      </w:pPr>
      <w:r w:rsidRPr="00786105">
        <w:rPr>
          <w:rFonts w:asciiTheme="minorHAnsi" w:eastAsia="Calibri" w:hAnsiTheme="minorHAnsi" w:cs="Calibri"/>
          <w:b/>
          <w:spacing w:val="-1"/>
          <w:sz w:val="24"/>
          <w:szCs w:val="24"/>
          <w:lang w:val="fr-FR"/>
        </w:rPr>
        <w:t xml:space="preserve">Description </w:t>
      </w:r>
    </w:p>
    <w:p w:rsidR="00057F56" w:rsidRPr="00786105" w:rsidRDefault="00057F56" w:rsidP="00057F56">
      <w:pPr>
        <w:tabs>
          <w:tab w:val="left" w:pos="10065"/>
        </w:tabs>
        <w:spacing w:after="60"/>
        <w:ind w:right="475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 xml:space="preserve">Conçue sur 2 journées, la formation « Introduction à l'analyse de données quantitatives » vise à 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améliorer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 xml:space="preserve"> l'analyse de données chiffrées, restituer les résultats sous forme de </w:t>
      </w:r>
      <w:r w:rsidR="00F61C88" w:rsidRPr="00786105">
        <w:rPr>
          <w:rFonts w:asciiTheme="minorHAnsi" w:eastAsia="Calibri" w:hAnsiTheme="minorHAnsi" w:cs="Calibri"/>
          <w:sz w:val="22"/>
          <w:szCs w:val="22"/>
          <w:lang w:val="fr-FR"/>
        </w:rPr>
        <w:t>documents et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 xml:space="preserve"> </w:t>
      </w:r>
      <w:r w:rsidR="00934F43" w:rsidRPr="00786105">
        <w:rPr>
          <w:rFonts w:asciiTheme="minorHAnsi" w:eastAsia="Calibri" w:hAnsiTheme="minorHAnsi" w:cs="Calibri"/>
          <w:sz w:val="22"/>
          <w:szCs w:val="22"/>
          <w:lang w:val="fr-FR"/>
        </w:rPr>
        <w:t>f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aire "parler"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 xml:space="preserve"> les tableaux et les graphiques.</w:t>
      </w:r>
    </w:p>
    <w:p w:rsidR="00057F56" w:rsidRPr="00786105" w:rsidRDefault="00057F56" w:rsidP="00057F56">
      <w:pPr>
        <w:tabs>
          <w:tab w:val="left" w:pos="10065"/>
        </w:tabs>
        <w:spacing w:after="60"/>
        <w:ind w:right="475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 xml:space="preserve">Les participants pourront acquérir un socle de vocabulaire quantitatif commun. Cette formation est un </w:t>
      </w:r>
      <w:r w:rsidRPr="00786105">
        <w:rPr>
          <w:rFonts w:asciiTheme="minorHAnsi" w:eastAsia="Calibri" w:hAnsiTheme="minorHAnsi" w:cs="Calibri"/>
          <w:sz w:val="22"/>
          <w:szCs w:val="22"/>
          <w:u w:val="single"/>
          <w:lang w:val="fr-FR"/>
        </w:rPr>
        <w:t>prérequis indispensable pour appréhender les analyses statistiques avec des méthodes plus complexes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>.</w:t>
      </w:r>
    </w:p>
    <w:p w:rsidR="00057F56" w:rsidRPr="00786105" w:rsidRDefault="00057F56" w:rsidP="00057F56">
      <w:pPr>
        <w:tabs>
          <w:tab w:val="left" w:pos="10065"/>
        </w:tabs>
        <w:ind w:right="475"/>
        <w:rPr>
          <w:rFonts w:asciiTheme="minorHAnsi" w:eastAsia="Calibri" w:hAnsiTheme="minorHAnsi" w:cs="Calibri"/>
          <w:spacing w:val="-1"/>
          <w:sz w:val="22"/>
          <w:szCs w:val="22"/>
          <w:lang w:val="fr-FR"/>
        </w:rPr>
      </w:pPr>
    </w:p>
    <w:p w:rsidR="00057F56" w:rsidRPr="00786105" w:rsidRDefault="00057F56" w:rsidP="00057F56">
      <w:pPr>
        <w:tabs>
          <w:tab w:val="left" w:pos="10065"/>
        </w:tabs>
        <w:ind w:right="475"/>
        <w:rPr>
          <w:rFonts w:asciiTheme="minorHAnsi" w:hAnsiTheme="minorHAnsi"/>
          <w:b/>
          <w:bCs/>
          <w:lang w:val="fr-FR"/>
        </w:rPr>
      </w:pPr>
      <w:r w:rsidRPr="00786105">
        <w:rPr>
          <w:rFonts w:asciiTheme="minorHAnsi" w:eastAsia="Calibri" w:hAnsiTheme="minorHAnsi" w:cs="Calibri"/>
          <w:b/>
          <w:spacing w:val="1"/>
          <w:sz w:val="24"/>
          <w:szCs w:val="24"/>
          <w:lang w:val="fr-FR"/>
        </w:rPr>
        <w:t xml:space="preserve">Public </w:t>
      </w:r>
    </w:p>
    <w:p w:rsidR="00057F56" w:rsidRPr="00786105" w:rsidRDefault="00057F56" w:rsidP="00057F56">
      <w:pPr>
        <w:tabs>
          <w:tab w:val="left" w:pos="10065"/>
        </w:tabs>
        <w:ind w:right="475"/>
        <w:rPr>
          <w:rFonts w:asciiTheme="minorHAnsi" w:hAnsiTheme="minorHAnsi"/>
          <w:bCs/>
          <w:sz w:val="22"/>
          <w:szCs w:val="22"/>
          <w:u w:val="single"/>
          <w:lang w:val="fr-FR"/>
        </w:rPr>
      </w:pPr>
      <w:r w:rsidRPr="00786105">
        <w:rPr>
          <w:rFonts w:asciiTheme="minorHAnsi" w:hAnsiTheme="minorHAnsi"/>
          <w:bCs/>
          <w:sz w:val="22"/>
          <w:szCs w:val="22"/>
          <w:lang w:val="fr-FR"/>
        </w:rPr>
        <w:t>La formation s’adresse aux doctorants, post-doctorants qui n’ont pas réutilisé les concepts d</w:t>
      </w:r>
      <w:r w:rsidRPr="00786105">
        <w:rPr>
          <w:rFonts w:asciiTheme="minorHAnsi" w:hAnsiTheme="minorHAnsi"/>
          <w:bCs/>
          <w:sz w:val="22"/>
          <w:szCs w:val="22"/>
          <w:u w:val="single"/>
          <w:lang w:val="fr-FR"/>
        </w:rPr>
        <w:t xml:space="preserve">e statistique </w:t>
      </w:r>
      <w:r w:rsidR="004F00DF" w:rsidRPr="00786105">
        <w:rPr>
          <w:rFonts w:asciiTheme="minorHAnsi" w:hAnsiTheme="minorHAnsi"/>
          <w:bCs/>
          <w:sz w:val="22"/>
          <w:szCs w:val="22"/>
          <w:u w:val="single"/>
          <w:lang w:val="fr-FR"/>
        </w:rPr>
        <w:t>descriptive étudiés</w:t>
      </w:r>
      <w:r w:rsidRPr="00786105">
        <w:rPr>
          <w:rFonts w:asciiTheme="minorHAnsi" w:hAnsiTheme="minorHAnsi"/>
          <w:bCs/>
          <w:sz w:val="22"/>
          <w:szCs w:val="22"/>
          <w:u w:val="single"/>
          <w:lang w:val="fr-FR"/>
        </w:rPr>
        <w:t xml:space="preserve"> dans l’enseignement supérieur. </w:t>
      </w:r>
    </w:p>
    <w:p w:rsidR="00057F56" w:rsidRPr="00786105" w:rsidRDefault="00057F56" w:rsidP="00057F56">
      <w:pPr>
        <w:tabs>
          <w:tab w:val="left" w:pos="10065"/>
        </w:tabs>
        <w:ind w:right="475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786105">
        <w:rPr>
          <w:rFonts w:asciiTheme="minorHAnsi" w:eastAsia="Calibri" w:hAnsiTheme="minorHAnsi" w:cs="Calibri"/>
          <w:sz w:val="22"/>
          <w:szCs w:val="22"/>
          <w:u w:val="single"/>
          <w:lang w:val="fr-FR"/>
        </w:rPr>
        <w:t>Prérequis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 xml:space="preserve"> : Les stagiaires doivent </w:t>
      </w:r>
      <w:r w:rsidRPr="00786105">
        <w:rPr>
          <w:rFonts w:asciiTheme="minorHAnsi" w:eastAsia="Calibri" w:hAnsiTheme="minorHAnsi" w:cs="Calibri"/>
          <w:b/>
          <w:sz w:val="22"/>
          <w:szCs w:val="22"/>
          <w:u w:val="single"/>
          <w:lang w:val="fr-FR"/>
        </w:rPr>
        <w:t>déjà,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 xml:space="preserve"> dans le cadre de leurs travaux quotidiens, produire des données quantitatives ou 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>susceptibles d’en produire rapidement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 xml:space="preserve">.  </w:t>
      </w:r>
    </w:p>
    <w:p w:rsidR="00057F56" w:rsidRPr="00786105" w:rsidRDefault="00057F56" w:rsidP="00057F56">
      <w:pPr>
        <w:tabs>
          <w:tab w:val="left" w:pos="10065"/>
        </w:tabs>
        <w:ind w:right="475"/>
        <w:rPr>
          <w:rFonts w:asciiTheme="minorHAnsi" w:hAnsiTheme="minorHAnsi"/>
          <w:bCs/>
          <w:u w:val="single"/>
          <w:lang w:val="fr-FR"/>
        </w:rPr>
      </w:pPr>
    </w:p>
    <w:p w:rsidR="00057F56" w:rsidRPr="00786105" w:rsidRDefault="00057F56" w:rsidP="00057F56">
      <w:pPr>
        <w:tabs>
          <w:tab w:val="left" w:pos="10065"/>
        </w:tabs>
        <w:ind w:right="475"/>
        <w:rPr>
          <w:rFonts w:asciiTheme="minorHAnsi" w:hAnsiTheme="minorHAnsi"/>
          <w:b/>
          <w:bCs/>
          <w:lang w:val="fr-FR"/>
        </w:rPr>
      </w:pPr>
    </w:p>
    <w:p w:rsidR="00057F56" w:rsidRPr="00786105" w:rsidRDefault="00057F56" w:rsidP="00057F56">
      <w:pPr>
        <w:tabs>
          <w:tab w:val="left" w:pos="10065"/>
        </w:tabs>
        <w:spacing w:after="60"/>
        <w:ind w:right="475"/>
        <w:rPr>
          <w:rFonts w:asciiTheme="minorHAnsi" w:eastAsia="Calibri" w:hAnsiTheme="minorHAnsi" w:cs="Calibri"/>
          <w:b/>
          <w:spacing w:val="1"/>
          <w:sz w:val="24"/>
          <w:szCs w:val="24"/>
          <w:lang w:val="fr-FR"/>
        </w:rPr>
      </w:pPr>
      <w:r w:rsidRPr="00786105">
        <w:rPr>
          <w:rFonts w:asciiTheme="minorHAnsi" w:eastAsia="Calibri" w:hAnsiTheme="minorHAnsi" w:cs="Calibri"/>
          <w:b/>
          <w:spacing w:val="1"/>
          <w:sz w:val="24"/>
          <w:szCs w:val="24"/>
          <w:lang w:val="fr-FR"/>
        </w:rPr>
        <w:t>Contenu de la formation</w:t>
      </w:r>
    </w:p>
    <w:p w:rsidR="00057F56" w:rsidRPr="00786105" w:rsidRDefault="00057F56" w:rsidP="00057F56">
      <w:pPr>
        <w:pStyle w:val="Paragraphedeliste"/>
        <w:numPr>
          <w:ilvl w:val="0"/>
          <w:numId w:val="1"/>
        </w:numPr>
        <w:tabs>
          <w:tab w:val="left" w:pos="10065"/>
        </w:tabs>
        <w:spacing w:after="60"/>
        <w:ind w:right="475"/>
        <w:rPr>
          <w:rFonts w:asciiTheme="minorHAnsi" w:hAnsiTheme="minorHAnsi"/>
          <w:sz w:val="22"/>
          <w:szCs w:val="22"/>
          <w:u w:val="single"/>
          <w:lang w:val="fr-FR"/>
        </w:rPr>
      </w:pPr>
      <w:r w:rsidRPr="00786105">
        <w:rPr>
          <w:rFonts w:asciiTheme="minorHAnsi" w:hAnsiTheme="minorHAnsi"/>
          <w:sz w:val="22"/>
          <w:lang w:val="fr-FR"/>
        </w:rPr>
        <w:t>Identifier ses données quantitatives : problématique, individu, population</w:t>
      </w:r>
    </w:p>
    <w:p w:rsidR="00057F56" w:rsidRPr="00786105" w:rsidRDefault="00057F56" w:rsidP="00057F56">
      <w:pPr>
        <w:pStyle w:val="Paragraphedeliste"/>
        <w:numPr>
          <w:ilvl w:val="0"/>
          <w:numId w:val="1"/>
        </w:numPr>
        <w:tabs>
          <w:tab w:val="left" w:pos="10065"/>
        </w:tabs>
        <w:spacing w:after="60"/>
        <w:ind w:right="475"/>
        <w:rPr>
          <w:rFonts w:asciiTheme="minorHAnsi" w:hAnsiTheme="minorHAnsi"/>
          <w:sz w:val="22"/>
          <w:szCs w:val="22"/>
          <w:u w:val="single"/>
          <w:lang w:val="fr-FR"/>
        </w:rPr>
      </w:pPr>
      <w:r w:rsidRPr="00786105">
        <w:rPr>
          <w:rFonts w:asciiTheme="minorHAnsi" w:hAnsiTheme="minorHAnsi"/>
          <w:sz w:val="22"/>
          <w:lang w:val="fr-FR"/>
        </w:rPr>
        <w:t>Préparer les données : définition, codage et regroupements</w:t>
      </w:r>
    </w:p>
    <w:p w:rsidR="00057F56" w:rsidRPr="00786105" w:rsidRDefault="00057F56" w:rsidP="00057F56">
      <w:pPr>
        <w:pStyle w:val="Paragraphedeliste"/>
        <w:numPr>
          <w:ilvl w:val="0"/>
          <w:numId w:val="1"/>
        </w:numPr>
        <w:tabs>
          <w:tab w:val="left" w:pos="10065"/>
        </w:tabs>
        <w:spacing w:after="60"/>
        <w:ind w:right="475"/>
        <w:rPr>
          <w:rFonts w:asciiTheme="minorHAnsi" w:hAnsiTheme="minorHAnsi"/>
          <w:sz w:val="22"/>
          <w:szCs w:val="22"/>
          <w:u w:val="single"/>
          <w:lang w:val="fr-FR"/>
        </w:rPr>
      </w:pPr>
      <w:r w:rsidRPr="00786105">
        <w:rPr>
          <w:rFonts w:asciiTheme="minorHAnsi" w:hAnsiTheme="minorHAnsi"/>
          <w:sz w:val="22"/>
          <w:lang w:val="fr-FR"/>
        </w:rPr>
        <w:t xml:space="preserve">Résumer une information par des indicateurs statistiques (moyenne, médiane, proportions …) ou par des </w:t>
      </w:r>
      <w:r w:rsidRPr="00786105">
        <w:rPr>
          <w:rFonts w:asciiTheme="minorHAnsi" w:hAnsiTheme="minorHAnsi"/>
          <w:b/>
          <w:sz w:val="22"/>
          <w:lang w:val="fr-FR"/>
        </w:rPr>
        <w:t>tableaux synthétiques</w:t>
      </w:r>
    </w:p>
    <w:p w:rsidR="00057F56" w:rsidRPr="00786105" w:rsidRDefault="00057F56" w:rsidP="00057F56">
      <w:pPr>
        <w:pStyle w:val="Paragraphedeliste"/>
        <w:numPr>
          <w:ilvl w:val="0"/>
          <w:numId w:val="1"/>
        </w:numPr>
        <w:tabs>
          <w:tab w:val="left" w:pos="10065"/>
        </w:tabs>
        <w:spacing w:after="60"/>
        <w:ind w:right="475"/>
        <w:rPr>
          <w:rFonts w:asciiTheme="minorHAnsi" w:hAnsiTheme="minorHAnsi"/>
          <w:sz w:val="22"/>
          <w:szCs w:val="22"/>
          <w:u w:val="single"/>
          <w:lang w:val="fr-FR"/>
        </w:rPr>
      </w:pPr>
      <w:r w:rsidRPr="00786105">
        <w:rPr>
          <w:rFonts w:asciiTheme="minorHAnsi" w:hAnsiTheme="minorHAnsi"/>
          <w:sz w:val="22"/>
          <w:lang w:val="fr-FR"/>
        </w:rPr>
        <w:t xml:space="preserve">Présenter les calculs sous forme de </w:t>
      </w:r>
      <w:r w:rsidRPr="00786105">
        <w:rPr>
          <w:rFonts w:asciiTheme="minorHAnsi" w:hAnsiTheme="minorHAnsi"/>
          <w:b/>
          <w:sz w:val="22"/>
          <w:lang w:val="fr-FR"/>
        </w:rPr>
        <w:t>graphiques ou de cartes</w:t>
      </w:r>
      <w:r w:rsidRPr="00786105">
        <w:rPr>
          <w:rFonts w:asciiTheme="minorHAnsi" w:hAnsiTheme="minorHAnsi"/>
          <w:sz w:val="22"/>
          <w:lang w:val="fr-FR"/>
        </w:rPr>
        <w:t xml:space="preserve"> et respecter les règles de sémiologie graphique</w:t>
      </w:r>
    </w:p>
    <w:p w:rsidR="00057F56" w:rsidRPr="00786105" w:rsidRDefault="00057F56" w:rsidP="00057F56">
      <w:pPr>
        <w:tabs>
          <w:tab w:val="left" w:pos="10065"/>
        </w:tabs>
        <w:spacing w:after="60"/>
        <w:ind w:right="475"/>
        <w:rPr>
          <w:rFonts w:asciiTheme="minorHAnsi" w:hAnsiTheme="minorHAnsi"/>
          <w:sz w:val="22"/>
          <w:szCs w:val="22"/>
          <w:u w:val="single"/>
          <w:lang w:val="fr-FR"/>
        </w:rPr>
      </w:pPr>
    </w:p>
    <w:p w:rsidR="00057F56" w:rsidRPr="00786105" w:rsidRDefault="00057F56" w:rsidP="00057F56">
      <w:pPr>
        <w:tabs>
          <w:tab w:val="left" w:pos="10065"/>
        </w:tabs>
        <w:spacing w:after="60"/>
        <w:ind w:right="475"/>
        <w:rPr>
          <w:rFonts w:asciiTheme="minorHAnsi" w:hAnsiTheme="minorHAnsi"/>
          <w:sz w:val="22"/>
          <w:szCs w:val="22"/>
          <w:u w:val="single"/>
          <w:lang w:val="fr-FR"/>
        </w:rPr>
      </w:pPr>
      <w:r w:rsidRPr="00786105">
        <w:rPr>
          <w:rFonts w:asciiTheme="minorHAnsi" w:hAnsiTheme="minorHAnsi"/>
          <w:b/>
          <w:bCs/>
          <w:sz w:val="22"/>
          <w:szCs w:val="22"/>
          <w:u w:val="single"/>
          <w:lang w:val="fr-FR"/>
        </w:rPr>
        <w:t xml:space="preserve">Outils </w:t>
      </w:r>
      <w:r w:rsidRPr="00786105">
        <w:rPr>
          <w:rFonts w:asciiTheme="minorHAnsi" w:hAnsiTheme="minorHAnsi"/>
          <w:sz w:val="22"/>
          <w:szCs w:val="22"/>
          <w:u w:val="single"/>
          <w:lang w:val="fr-FR"/>
        </w:rPr>
        <w:t xml:space="preserve">: Excel, </w:t>
      </w:r>
      <w:proofErr w:type="spellStart"/>
      <w:r w:rsidRPr="00786105">
        <w:rPr>
          <w:rFonts w:asciiTheme="minorHAnsi" w:hAnsiTheme="minorHAnsi"/>
          <w:sz w:val="22"/>
          <w:szCs w:val="22"/>
          <w:u w:val="single"/>
          <w:lang w:val="fr-FR"/>
        </w:rPr>
        <w:t>Magrit</w:t>
      </w:r>
      <w:proofErr w:type="spellEnd"/>
      <w:r w:rsidRPr="00786105">
        <w:rPr>
          <w:rFonts w:asciiTheme="minorHAnsi" w:hAnsiTheme="minorHAnsi"/>
          <w:sz w:val="22"/>
          <w:szCs w:val="22"/>
          <w:u w:val="single"/>
          <w:lang w:val="fr-FR"/>
        </w:rPr>
        <w:t xml:space="preserve">, </w:t>
      </w:r>
      <w:proofErr w:type="spellStart"/>
      <w:r w:rsidRPr="00786105">
        <w:rPr>
          <w:rFonts w:asciiTheme="minorHAnsi" w:hAnsiTheme="minorHAnsi"/>
          <w:sz w:val="22"/>
          <w:szCs w:val="22"/>
          <w:u w:val="single"/>
          <w:lang w:val="fr-FR"/>
        </w:rPr>
        <w:t>Wordle</w:t>
      </w:r>
      <w:proofErr w:type="spellEnd"/>
    </w:p>
    <w:p w:rsidR="00057F56" w:rsidRPr="00786105" w:rsidRDefault="00057F56" w:rsidP="00057F56">
      <w:pPr>
        <w:tabs>
          <w:tab w:val="left" w:pos="10065"/>
        </w:tabs>
        <w:spacing w:after="60"/>
        <w:ind w:right="475"/>
        <w:rPr>
          <w:rFonts w:asciiTheme="minorHAnsi" w:hAnsiTheme="minorHAnsi"/>
          <w:sz w:val="22"/>
          <w:szCs w:val="22"/>
          <w:u w:val="single"/>
          <w:lang w:val="fr-FR"/>
        </w:rPr>
      </w:pPr>
    </w:p>
    <w:p w:rsidR="00057F56" w:rsidRPr="00786105" w:rsidRDefault="00057F56" w:rsidP="00057F56">
      <w:pPr>
        <w:tabs>
          <w:tab w:val="left" w:pos="10065"/>
        </w:tabs>
        <w:ind w:right="475"/>
        <w:rPr>
          <w:rFonts w:asciiTheme="minorHAnsi" w:hAnsiTheme="minorHAnsi"/>
          <w:b/>
          <w:sz w:val="28"/>
          <w:szCs w:val="24"/>
          <w:lang w:val="fr-FR"/>
        </w:rPr>
      </w:pPr>
      <w:r w:rsidRPr="00786105">
        <w:rPr>
          <w:rFonts w:asciiTheme="minorHAnsi" w:eastAsia="Calibri" w:hAnsiTheme="minorHAnsi" w:cs="Calibri"/>
          <w:b/>
          <w:spacing w:val="1"/>
          <w:sz w:val="24"/>
          <w:szCs w:val="24"/>
          <w:lang w:val="fr-FR"/>
        </w:rPr>
        <w:t>Acquis de la formation</w:t>
      </w:r>
      <w:r w:rsidRPr="00786105">
        <w:rPr>
          <w:rFonts w:asciiTheme="minorHAnsi" w:hAnsiTheme="minorHAnsi"/>
          <w:b/>
          <w:sz w:val="28"/>
          <w:szCs w:val="24"/>
          <w:lang w:val="fr-FR"/>
        </w:rPr>
        <w:t xml:space="preserve"> </w:t>
      </w:r>
    </w:p>
    <w:p w:rsidR="00057F56" w:rsidRPr="00786105" w:rsidRDefault="00057F56" w:rsidP="00057F56">
      <w:pPr>
        <w:tabs>
          <w:tab w:val="left" w:pos="10065"/>
        </w:tabs>
        <w:spacing w:after="60"/>
        <w:ind w:right="475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786105">
        <w:rPr>
          <w:rFonts w:asciiTheme="minorHAnsi" w:hAnsiTheme="minorHAnsi"/>
          <w:sz w:val="22"/>
          <w:szCs w:val="22"/>
          <w:lang w:val="fr-FR"/>
        </w:rPr>
        <w:t>A l’issue de la formation, le participant sera en mesure de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 xml:space="preserve"> produire des données chiffrées, d’analyser, trier et communiquer des indicateurs et de concevoir des graphiques ou des cartes pertinentes.</w:t>
      </w:r>
    </w:p>
    <w:p w:rsidR="00057F56" w:rsidRPr="00786105" w:rsidRDefault="00057F56" w:rsidP="00057F56">
      <w:pPr>
        <w:tabs>
          <w:tab w:val="left" w:pos="10065"/>
        </w:tabs>
        <w:ind w:right="475"/>
        <w:rPr>
          <w:rFonts w:asciiTheme="minorHAnsi" w:eastAsia="Calibri" w:hAnsiTheme="minorHAnsi" w:cs="Calibri"/>
          <w:spacing w:val="-1"/>
          <w:sz w:val="22"/>
          <w:szCs w:val="22"/>
          <w:lang w:val="fr-FR"/>
        </w:rPr>
      </w:pP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 xml:space="preserve">Plus généralement, les méthodes d’analyse acquises pourront être utilisées </w:t>
      </w:r>
      <w:r w:rsidRPr="00786105">
        <w:rPr>
          <w:rFonts w:asciiTheme="minorHAnsi" w:eastAsia="Calibri" w:hAnsiTheme="minorHAnsi" w:cs="Calibri"/>
          <w:b/>
          <w:sz w:val="22"/>
          <w:szCs w:val="22"/>
          <w:u w:val="single"/>
          <w:lang w:val="fr-FR"/>
        </w:rPr>
        <w:t>dans des situations professionnelles</w:t>
      </w:r>
      <w:r w:rsidRPr="00786105">
        <w:rPr>
          <w:rFonts w:asciiTheme="minorHAnsi" w:eastAsia="Calibri" w:hAnsiTheme="minorHAnsi" w:cs="Calibri"/>
          <w:b/>
          <w:sz w:val="22"/>
          <w:szCs w:val="22"/>
          <w:lang w:val="fr-FR"/>
        </w:rPr>
        <w:t xml:space="preserve"> 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 xml:space="preserve">nécessitant de communiquer visuellement des </w:t>
      </w:r>
      <w:r w:rsidR="004F00DF" w:rsidRPr="00786105">
        <w:rPr>
          <w:rFonts w:asciiTheme="minorHAnsi" w:eastAsia="Calibri" w:hAnsiTheme="minorHAnsi" w:cs="Calibri"/>
          <w:sz w:val="22"/>
          <w:szCs w:val="22"/>
          <w:lang w:val="fr-FR"/>
        </w:rPr>
        <w:t>données complexes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 xml:space="preserve"> (rédaction de rapports institutionnels, présentation de travaux dans des colloques, séminaires…).</w:t>
      </w:r>
    </w:p>
    <w:p w:rsidR="00057F56" w:rsidRPr="00786105" w:rsidRDefault="00057F56" w:rsidP="00057F56">
      <w:pPr>
        <w:tabs>
          <w:tab w:val="left" w:pos="10065"/>
        </w:tabs>
        <w:spacing w:after="60"/>
        <w:ind w:right="475"/>
        <w:rPr>
          <w:rFonts w:asciiTheme="minorHAnsi" w:hAnsiTheme="minorHAnsi"/>
          <w:sz w:val="22"/>
          <w:szCs w:val="22"/>
          <w:u w:val="single"/>
          <w:lang w:val="fr-FR"/>
        </w:rPr>
      </w:pPr>
    </w:p>
    <w:p w:rsidR="00437B82" w:rsidRPr="00FC2DCF" w:rsidRDefault="00057F56" w:rsidP="00FC2DCF">
      <w:pPr>
        <w:tabs>
          <w:tab w:val="left" w:pos="10065"/>
        </w:tabs>
        <w:ind w:right="475"/>
        <w:rPr>
          <w:rFonts w:asciiTheme="minorHAnsi" w:eastAsia="Calibri" w:hAnsiTheme="minorHAnsi" w:cs="Calibri"/>
          <w:sz w:val="22"/>
          <w:szCs w:val="22"/>
          <w:lang w:val="fr-FR"/>
        </w:rPr>
      </w:pPr>
      <w:r w:rsidRPr="00786105">
        <w:rPr>
          <w:rFonts w:asciiTheme="minorHAnsi" w:eastAsia="Calibri" w:hAnsiTheme="minorHAnsi" w:cs="Calibri"/>
          <w:b/>
          <w:sz w:val="22"/>
          <w:szCs w:val="22"/>
          <w:u w:val="single"/>
          <w:lang w:val="fr-FR"/>
        </w:rPr>
        <w:t xml:space="preserve">Nombre de participants maximum </w:t>
      </w:r>
      <w:r w:rsidRPr="00786105">
        <w:rPr>
          <w:rFonts w:asciiTheme="minorHAnsi" w:eastAsia="Calibri" w:hAnsiTheme="minorHAnsi" w:cs="Calibri"/>
          <w:sz w:val="22"/>
          <w:szCs w:val="22"/>
          <w:lang w:val="fr-FR"/>
        </w:rPr>
        <w:t>: 12 personnes </w:t>
      </w:r>
      <w:bookmarkStart w:id="0" w:name="_GoBack"/>
      <w:bookmarkEnd w:id="0"/>
    </w:p>
    <w:sectPr w:rsidR="00437B82" w:rsidRPr="00FC2DC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0DF" w:rsidRDefault="004F00DF" w:rsidP="004F00DF">
      <w:r>
        <w:separator/>
      </w:r>
    </w:p>
  </w:endnote>
  <w:endnote w:type="continuationSeparator" w:id="0">
    <w:p w:rsidR="004F00DF" w:rsidRDefault="004F00DF" w:rsidP="004F0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0DF" w:rsidRDefault="004F00DF" w:rsidP="004F00DF">
      <w:r>
        <w:separator/>
      </w:r>
    </w:p>
  </w:footnote>
  <w:footnote w:type="continuationSeparator" w:id="0">
    <w:p w:rsidR="004F00DF" w:rsidRDefault="004F00DF" w:rsidP="004F0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0DF" w:rsidRDefault="004F00DF">
    <w:pPr>
      <w:pStyle w:val="En-tte"/>
    </w:pPr>
    <w:r>
      <w:rPr>
        <w:b/>
        <w:noProof/>
        <w:lang w:val="fr-FR" w:eastAsia="fr-FR"/>
      </w:rPr>
      <w:drawing>
        <wp:anchor distT="0" distB="0" distL="114935" distR="114935" simplePos="0" relativeHeight="251659264" behindDoc="1" locked="0" layoutInCell="1" allowOverlap="1" wp14:anchorId="791D0AB5" wp14:editId="6A30A76E">
          <wp:simplePos x="0" y="0"/>
          <wp:positionH relativeFrom="page">
            <wp:posOffset>299720</wp:posOffset>
          </wp:positionH>
          <wp:positionV relativeFrom="page">
            <wp:posOffset>182245</wp:posOffset>
          </wp:positionV>
          <wp:extent cx="880745" cy="944245"/>
          <wp:effectExtent l="0" t="0" r="0" b="8255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745" cy="94424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4A1FD7"/>
    <w:multiLevelType w:val="hybridMultilevel"/>
    <w:tmpl w:val="102E1490"/>
    <w:lvl w:ilvl="0" w:tplc="C81C83CE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F56"/>
    <w:rsid w:val="00057F56"/>
    <w:rsid w:val="00175908"/>
    <w:rsid w:val="00241BC1"/>
    <w:rsid w:val="00444EB5"/>
    <w:rsid w:val="004F00DF"/>
    <w:rsid w:val="006670D2"/>
    <w:rsid w:val="00786105"/>
    <w:rsid w:val="00934F43"/>
    <w:rsid w:val="009C01A9"/>
    <w:rsid w:val="00DD2DBF"/>
    <w:rsid w:val="00F61C88"/>
    <w:rsid w:val="00FC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73063"/>
  <w15:chartTrackingRefBased/>
  <w15:docId w15:val="{6A2CE148-F901-4A7D-A019-D0AFBCD1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F5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57F56"/>
    <w:pPr>
      <w:ind w:left="720"/>
      <w:contextualSpacing/>
    </w:pPr>
  </w:style>
  <w:style w:type="paragraph" w:styleId="NormalWeb">
    <w:name w:val="Normal (Web)"/>
    <w:basedOn w:val="Normal"/>
    <w:rsid w:val="004F00DF"/>
    <w:pPr>
      <w:suppressAutoHyphens/>
      <w:spacing w:before="280" w:after="280"/>
    </w:pPr>
    <w:rPr>
      <w:sz w:val="24"/>
      <w:szCs w:val="24"/>
      <w:lang w:val="fr-FR" w:eastAsia="zh-CN"/>
    </w:rPr>
  </w:style>
  <w:style w:type="paragraph" w:styleId="En-tte">
    <w:name w:val="header"/>
    <w:basedOn w:val="Normal"/>
    <w:link w:val="En-tteCar"/>
    <w:uiPriority w:val="99"/>
    <w:unhideWhenUsed/>
    <w:rsid w:val="004F0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F00D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4F0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00DF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INED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GARNIER Benedicte</dc:creator>
  <cp:keywords/>
  <dc:description/>
  <cp:lastModifiedBy>Eleanor Dauplait</cp:lastModifiedBy>
  <cp:revision>2</cp:revision>
  <dcterms:created xsi:type="dcterms:W3CDTF">2019-07-09T13:02:00Z</dcterms:created>
  <dcterms:modified xsi:type="dcterms:W3CDTF">2019-07-09T13:02:00Z</dcterms:modified>
</cp:coreProperties>
</file>